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05E66B2D" w14:textId="77777777" w:rsidR="000064C8" w:rsidRDefault="000064C8" w:rsidP="00081B4F">
      <w:pPr>
        <w:pStyle w:val="Default"/>
        <w:jc w:val="center"/>
        <w:rPr>
          <w:rFonts w:asciiTheme="minorHAnsi" w:hAnsiTheme="minorHAnsi" w:cstheme="minorHAnsi"/>
          <w:b/>
          <w:bCs/>
          <w:sz w:val="22"/>
          <w:szCs w:val="22"/>
          <w:u w:val="single"/>
          <w:lang w:val="es-ES"/>
        </w:rPr>
      </w:pPr>
    </w:p>
    <w:p w14:paraId="38BA1202" w14:textId="662A7564"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44DD367C"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A06864">
        <w:rPr>
          <w:rFonts w:asciiTheme="minorHAnsi" w:hAnsiTheme="minorHAnsi" w:cstheme="minorHAnsi"/>
          <w:b/>
          <w:bCs/>
          <w:sz w:val="22"/>
          <w:szCs w:val="22"/>
          <w:u w:val="single"/>
          <w:lang w:val="es-ES"/>
        </w:rPr>
        <w:t>2</w:t>
      </w:r>
      <w:r w:rsidR="000064C8">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8C3ABF">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SELECCIÓN</w:t>
      </w:r>
      <w:r w:rsidR="006C293B">
        <w:rPr>
          <w:rFonts w:asciiTheme="minorHAnsi" w:hAnsiTheme="minorHAnsi" w:cstheme="minorHAnsi"/>
          <w:b/>
          <w:bCs/>
          <w:sz w:val="22"/>
          <w:szCs w:val="22"/>
          <w:u w:val="single"/>
          <w:lang w:val="es-ES"/>
        </w:rPr>
        <w:t xml:space="preserve"> DE</w:t>
      </w:r>
      <w:r w:rsidR="00521A41">
        <w:rPr>
          <w:rFonts w:asciiTheme="minorHAnsi" w:hAnsiTheme="minorHAnsi" w:cstheme="minorHAnsi"/>
          <w:b/>
          <w:bCs/>
          <w:sz w:val="22"/>
          <w:szCs w:val="22"/>
          <w:u w:val="single"/>
          <w:lang w:val="es-ES"/>
        </w:rPr>
        <w:t xml:space="preserve"> </w:t>
      </w:r>
      <w:r w:rsidR="00AF47F3">
        <w:rPr>
          <w:rFonts w:asciiTheme="minorHAnsi" w:hAnsiTheme="minorHAnsi" w:cstheme="minorHAnsi"/>
          <w:b/>
          <w:bCs/>
          <w:sz w:val="22"/>
          <w:szCs w:val="22"/>
          <w:u w:val="single"/>
          <w:lang w:val="es-ES"/>
        </w:rPr>
        <w:t xml:space="preserve">ASISTENTE DE </w:t>
      </w:r>
      <w:r w:rsidR="00BC690F">
        <w:rPr>
          <w:rFonts w:asciiTheme="minorHAnsi" w:hAnsiTheme="minorHAnsi" w:cstheme="minorHAnsi"/>
          <w:b/>
          <w:bCs/>
          <w:sz w:val="22"/>
          <w:szCs w:val="22"/>
          <w:u w:val="single"/>
          <w:lang w:val="es-ES"/>
        </w:rPr>
        <w:t>INVESTIGACIÓN Y EXTENSIÓN ACUÍCOLA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9FB212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D4A20">
        <w:rPr>
          <w:rFonts w:asciiTheme="minorHAnsi" w:hAnsiTheme="minorHAnsi" w:cstheme="minorHAnsi"/>
          <w:bCs/>
          <w:lang w:val="es-ES"/>
        </w:rPr>
        <w:t xml:space="preserve">ASISTENTE DE </w:t>
      </w:r>
      <w:r w:rsidR="00BC690F">
        <w:rPr>
          <w:rFonts w:asciiTheme="minorHAnsi" w:hAnsiTheme="minorHAnsi" w:cstheme="minorHAnsi"/>
          <w:bCs/>
          <w:lang w:val="es-ES"/>
        </w:rPr>
        <w:t>INVESTIGACIÓN Y EXTENSIÓN ACUÍCOLA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7A72DF14"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A06864">
        <w:rPr>
          <w:rFonts w:asciiTheme="minorHAnsi" w:hAnsiTheme="minorHAnsi" w:cstheme="minorHAnsi"/>
          <w:b/>
          <w:bCs/>
          <w:u w:val="single"/>
          <w:lang w:val="es-ES"/>
        </w:rPr>
        <w:t>2</w:t>
      </w:r>
      <w:r w:rsidR="000064C8">
        <w:rPr>
          <w:rFonts w:asciiTheme="minorHAnsi" w:hAnsiTheme="minorHAnsi" w:cstheme="minorHAnsi"/>
          <w:b/>
          <w:bCs/>
          <w:u w:val="single"/>
          <w:lang w:val="es-ES"/>
        </w:rPr>
        <w:t>6</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C293B">
        <w:rPr>
          <w:rFonts w:asciiTheme="minorHAnsi" w:hAnsiTheme="minorHAnsi" w:cstheme="minorHAnsi"/>
          <w:b/>
          <w:bCs/>
          <w:u w:val="single"/>
          <w:lang w:val="es-ES"/>
        </w:rPr>
        <w:t xml:space="preserve">ASISTENTE </w:t>
      </w:r>
      <w:r w:rsidR="00FF5311">
        <w:rPr>
          <w:rFonts w:asciiTheme="minorHAnsi" w:hAnsiTheme="minorHAnsi" w:cstheme="minorHAnsi"/>
          <w:b/>
          <w:bCs/>
          <w:u w:val="single"/>
          <w:lang w:val="es-ES"/>
        </w:rPr>
        <w:t>INVESTIGACIÓN Y EXTENSIÓN ACUÍCOLA</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1A3EFAE2"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A06864">
        <w:rPr>
          <w:rFonts w:asciiTheme="minorHAnsi" w:hAnsiTheme="minorHAnsi" w:cstheme="minorHAnsi"/>
          <w:b/>
          <w:bCs/>
          <w:u w:val="single"/>
          <w:lang w:val="es-ES"/>
        </w:rPr>
        <w:t>2</w:t>
      </w:r>
      <w:r w:rsidR="000064C8">
        <w:rPr>
          <w:rFonts w:asciiTheme="minorHAnsi" w:hAnsiTheme="minorHAnsi" w:cstheme="minorHAnsi"/>
          <w:b/>
          <w:bCs/>
          <w:u w:val="single"/>
          <w:lang w:val="es-ES"/>
        </w:rPr>
        <w:t>6</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w:t>
      </w:r>
      <w:r w:rsidR="006C293B">
        <w:rPr>
          <w:rFonts w:asciiTheme="minorHAnsi" w:hAnsiTheme="minorHAnsi" w:cstheme="minorHAnsi"/>
          <w:b/>
          <w:bCs/>
          <w:u w:val="single"/>
          <w:lang w:val="es-ES"/>
        </w:rPr>
        <w:t xml:space="preserve">DE </w:t>
      </w:r>
      <w:r w:rsidR="00FF5311">
        <w:rPr>
          <w:rFonts w:asciiTheme="minorHAnsi" w:hAnsiTheme="minorHAnsi" w:cstheme="minorHAnsi"/>
          <w:b/>
          <w:bCs/>
          <w:u w:val="single"/>
          <w:lang w:val="es-ES"/>
        </w:rPr>
        <w:t>ASISTENTE DE INVESTIGACIÓN Y EXTENSIÓN ACUÍCOLA</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330E57DD"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180E39">
        <w:rPr>
          <w:rFonts w:asciiTheme="minorHAnsi" w:hAnsiTheme="minorHAnsi" w:cstheme="minorHAnsi"/>
          <w:b/>
          <w:bCs/>
          <w:u w:val="single"/>
          <w:lang w:val="es-ES"/>
        </w:rPr>
        <w:t>2</w:t>
      </w:r>
      <w:r w:rsidR="000064C8">
        <w:rPr>
          <w:rFonts w:asciiTheme="minorHAnsi" w:hAnsiTheme="minorHAnsi" w:cstheme="minorHAnsi"/>
          <w:b/>
          <w:bCs/>
          <w:u w:val="single"/>
          <w:lang w:val="es-ES"/>
        </w:rPr>
        <w:t>6</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5D016B6F"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5325F3">
        <w:rPr>
          <w:rFonts w:asciiTheme="minorHAnsi" w:hAnsiTheme="minorHAnsi" w:cstheme="minorHAnsi"/>
          <w:b/>
          <w:bCs/>
          <w:u w:val="single"/>
          <w:lang w:val="es-ES"/>
        </w:rPr>
        <w:t>2</w:t>
      </w:r>
      <w:r w:rsidR="000064C8">
        <w:rPr>
          <w:rFonts w:asciiTheme="minorHAnsi" w:hAnsiTheme="minorHAnsi" w:cstheme="minorHAnsi"/>
          <w:b/>
          <w:bCs/>
          <w:u w:val="single"/>
          <w:lang w:val="es-ES"/>
        </w:rPr>
        <w:t>6</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1A736242"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EB6715">
        <w:rPr>
          <w:rFonts w:asciiTheme="minorHAnsi" w:hAnsiTheme="minorHAnsi" w:cstheme="minorHAnsi"/>
          <w:b/>
          <w:bCs/>
          <w:u w:val="single"/>
          <w:lang w:val="es-ES"/>
        </w:rPr>
        <w:t>2</w:t>
      </w:r>
      <w:r w:rsidR="000064C8">
        <w:rPr>
          <w:rFonts w:asciiTheme="minorHAnsi" w:hAnsiTheme="minorHAnsi" w:cstheme="minorHAnsi"/>
          <w:b/>
          <w:bCs/>
          <w:u w:val="single"/>
          <w:lang w:val="es-ES"/>
        </w:rPr>
        <w:t>6</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 xml:space="preserve">ASISTENTE </w:t>
      </w:r>
      <w:r w:rsidR="00FF5311">
        <w:rPr>
          <w:rFonts w:asciiTheme="minorHAnsi" w:hAnsiTheme="minorHAnsi" w:cstheme="minorHAnsi"/>
          <w:b/>
          <w:bCs/>
          <w:u w:val="single"/>
          <w:lang w:val="es-ES"/>
        </w:rPr>
        <w:t>DE INVESTIGACIÓN Y EXTENSIÓN ACUÍCOLA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3B632460"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EB6715">
        <w:rPr>
          <w:rFonts w:asciiTheme="minorHAnsi" w:hAnsiTheme="minorHAnsi" w:cstheme="minorHAnsi"/>
          <w:b/>
          <w:bCs/>
          <w:u w:val="single"/>
          <w:lang w:val="es-ES"/>
        </w:rPr>
        <w:t>2</w:t>
      </w:r>
      <w:r w:rsidR="000064C8">
        <w:rPr>
          <w:rFonts w:asciiTheme="minorHAnsi" w:hAnsiTheme="minorHAnsi" w:cstheme="minorHAnsi"/>
          <w:b/>
          <w:bCs/>
          <w:u w:val="single"/>
          <w:lang w:val="es-ES"/>
        </w:rPr>
        <w:t>6</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7A23AF1A"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EB6715">
        <w:rPr>
          <w:rFonts w:asciiTheme="minorHAnsi" w:hAnsiTheme="minorHAnsi" w:cstheme="minorHAnsi"/>
          <w:b/>
          <w:bCs/>
          <w:u w:val="single"/>
          <w:lang w:val="es-ES"/>
        </w:rPr>
        <w:t>2</w:t>
      </w:r>
      <w:r w:rsidR="000064C8">
        <w:rPr>
          <w:rFonts w:asciiTheme="minorHAnsi" w:hAnsiTheme="minorHAnsi" w:cstheme="minorHAnsi"/>
          <w:b/>
          <w:bCs/>
          <w:u w:val="single"/>
          <w:lang w:val="es-ES"/>
        </w:rPr>
        <w:t>6</w:t>
      </w:r>
      <w:r>
        <w:rPr>
          <w:rFonts w:asciiTheme="minorHAnsi" w:hAnsiTheme="minorHAnsi" w:cstheme="minorHAnsi"/>
          <w:b/>
          <w:bCs/>
          <w:u w:val="single"/>
          <w:lang w:val="es-ES"/>
        </w:rPr>
        <w:t xml:space="preserve">-2022-IIAP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F5311">
        <w:rPr>
          <w:rFonts w:asciiTheme="minorHAnsi" w:hAnsiTheme="minorHAnsi" w:cstheme="minorHAnsi"/>
          <w:b/>
          <w:bCs/>
          <w:u w:val="single"/>
          <w:lang w:val="es-ES"/>
        </w:rPr>
        <w:t>ASISTENTE DE INVESTIGACIÓN Y EXTENSIÓN ACUÍCOLA</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50FD"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B7F8F"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A890A"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12B70C90" w:rsidR="00D95656" w:rsidRDefault="00D95656" w:rsidP="00D95656">
      <w:pPr>
        <w:spacing w:after="0" w:line="240" w:lineRule="auto"/>
        <w:jc w:val="both"/>
        <w:rPr>
          <w:rFonts w:asciiTheme="minorHAnsi" w:hAnsiTheme="minorHAnsi" w:cstheme="minorHAnsi"/>
          <w:b/>
          <w:bCs/>
          <w:lang w:val="es-ES"/>
        </w:rPr>
      </w:pPr>
    </w:p>
    <w:p w14:paraId="34BCED4D" w14:textId="1369B998" w:rsidR="00D95656" w:rsidRDefault="000064C8"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13B4EEF9">
            <wp:simplePos x="0" y="0"/>
            <wp:positionH relativeFrom="column">
              <wp:posOffset>2517140</wp:posOffset>
            </wp:positionH>
            <wp:positionV relativeFrom="paragraph">
              <wp:posOffset>43815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701D17D8"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EB6715">
        <w:rPr>
          <w:rFonts w:asciiTheme="minorHAnsi" w:hAnsiTheme="minorHAnsi" w:cstheme="minorHAnsi"/>
          <w:b/>
          <w:bCs/>
          <w:u w:val="single"/>
          <w:lang w:val="es-ES"/>
        </w:rPr>
        <w:t>2</w:t>
      </w:r>
      <w:r w:rsidR="00FC428D">
        <w:rPr>
          <w:rFonts w:asciiTheme="minorHAnsi" w:hAnsiTheme="minorHAnsi" w:cstheme="minorHAnsi"/>
          <w:b/>
          <w:bCs/>
          <w:u w:val="single"/>
          <w:lang w:val="es-ES"/>
        </w:rPr>
        <w:t>6</w:t>
      </w:r>
      <w:r w:rsidR="00F33961" w:rsidRPr="00F33961">
        <w:rPr>
          <w:rFonts w:asciiTheme="minorHAnsi" w:hAnsiTheme="minorHAnsi" w:cstheme="minorHAnsi"/>
          <w:b/>
          <w:bCs/>
          <w:u w:val="single"/>
          <w:lang w:val="es-ES"/>
        </w:rPr>
        <w:t xml:space="preserve"> </w:t>
      </w:r>
      <w:r w:rsidR="00F33961">
        <w:rPr>
          <w:rFonts w:asciiTheme="minorHAnsi" w:hAnsiTheme="minorHAnsi" w:cstheme="minorHAnsi"/>
          <w:b/>
          <w:bCs/>
          <w:u w:val="single"/>
          <w:lang w:val="es-ES"/>
        </w:rPr>
        <w:t>-2022-IIAP</w:t>
      </w:r>
      <w:bookmarkStart w:id="0" w:name="_GoBack"/>
      <w:bookmarkEnd w:id="0"/>
      <w:r>
        <w:rPr>
          <w:rFonts w:asciiTheme="minorHAnsi" w:hAnsiTheme="minorHAnsi" w:cstheme="minorHAnsi"/>
          <w:b/>
          <w:bCs/>
          <w:u w:val="single"/>
          <w:lang w:val="es-ES"/>
        </w:rPr>
        <w:t xml:space="preserve">–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FF5311">
        <w:rPr>
          <w:rFonts w:asciiTheme="minorHAnsi" w:hAnsiTheme="minorHAnsi" w:cstheme="minorHAnsi"/>
          <w:b/>
          <w:bCs/>
          <w:u w:val="single"/>
          <w:lang w:val="es-ES"/>
        </w:rPr>
        <w:t>ASISTENTE DE INVESTIGACIÓN Y EXTENSIÓN ACUÍCOLA</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6AE5" w14:textId="77777777" w:rsidR="00FD542A" w:rsidRDefault="00FD542A" w:rsidP="009746E5">
      <w:pPr>
        <w:spacing w:after="0" w:line="240" w:lineRule="auto"/>
      </w:pPr>
      <w:r>
        <w:separator/>
      </w:r>
    </w:p>
  </w:endnote>
  <w:endnote w:type="continuationSeparator" w:id="0">
    <w:p w14:paraId="11C7804C" w14:textId="77777777" w:rsidR="00FD542A" w:rsidRDefault="00FD542A"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EB93DDC"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44423A2"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40DFB3"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FC428D">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FC428D">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23869E"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CEB050"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605CF" w14:textId="77777777" w:rsidR="00FD542A" w:rsidRDefault="00FD542A" w:rsidP="009746E5">
      <w:pPr>
        <w:spacing w:after="0" w:line="240" w:lineRule="auto"/>
      </w:pPr>
      <w:r>
        <w:separator/>
      </w:r>
    </w:p>
  </w:footnote>
  <w:footnote w:type="continuationSeparator" w:id="0">
    <w:p w14:paraId="73CEB662" w14:textId="77777777" w:rsidR="00FD542A" w:rsidRDefault="00FD542A"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142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6192"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6192"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3"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0C9FFEF7" w:rsidR="00723AB1" w:rsidRPr="00723AB1" w:rsidRDefault="008C3ABF" w:rsidP="008C3ABF">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3E13A3A2" w:rsidR="00723AB1" w:rsidRPr="00723AB1" w:rsidRDefault="008C3ABF" w:rsidP="008C3ABF">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4C8"/>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350F"/>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B50"/>
    <w:rsid w:val="000E3E50"/>
    <w:rsid w:val="000E4BB3"/>
    <w:rsid w:val="000E5C53"/>
    <w:rsid w:val="000E5F16"/>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37046"/>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0E39"/>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6CEF"/>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37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459"/>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0EB"/>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5F3"/>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19A1"/>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178F"/>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16E3C"/>
    <w:rsid w:val="0062472B"/>
    <w:rsid w:val="0062646E"/>
    <w:rsid w:val="00630E94"/>
    <w:rsid w:val="00631344"/>
    <w:rsid w:val="00631CE4"/>
    <w:rsid w:val="00632005"/>
    <w:rsid w:val="00633129"/>
    <w:rsid w:val="00634832"/>
    <w:rsid w:val="00634D25"/>
    <w:rsid w:val="006354B5"/>
    <w:rsid w:val="00636AA4"/>
    <w:rsid w:val="00640644"/>
    <w:rsid w:val="00640BD6"/>
    <w:rsid w:val="006415A8"/>
    <w:rsid w:val="00643064"/>
    <w:rsid w:val="00643926"/>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293B"/>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4607A"/>
    <w:rsid w:val="00850122"/>
    <w:rsid w:val="0085132A"/>
    <w:rsid w:val="00851699"/>
    <w:rsid w:val="00851FAC"/>
    <w:rsid w:val="00853042"/>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4D27"/>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3ABF"/>
    <w:rsid w:val="008C50C1"/>
    <w:rsid w:val="008C5807"/>
    <w:rsid w:val="008C5B0A"/>
    <w:rsid w:val="008C5B5F"/>
    <w:rsid w:val="008C5DB8"/>
    <w:rsid w:val="008C7EE2"/>
    <w:rsid w:val="008C7F51"/>
    <w:rsid w:val="008D0A4C"/>
    <w:rsid w:val="008D3B64"/>
    <w:rsid w:val="008D435C"/>
    <w:rsid w:val="008D62AF"/>
    <w:rsid w:val="008D65F0"/>
    <w:rsid w:val="008D72A5"/>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864"/>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2BB3"/>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0F29"/>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90F"/>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717"/>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0E"/>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133"/>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715"/>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0B91"/>
    <w:rsid w:val="00EE2057"/>
    <w:rsid w:val="00EE3ECB"/>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3961"/>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0705"/>
    <w:rsid w:val="00FC140A"/>
    <w:rsid w:val="00FC216F"/>
    <w:rsid w:val="00FC2A6E"/>
    <w:rsid w:val="00FC2A98"/>
    <w:rsid w:val="00FC428D"/>
    <w:rsid w:val="00FC5575"/>
    <w:rsid w:val="00FC6026"/>
    <w:rsid w:val="00FC650E"/>
    <w:rsid w:val="00FC6A97"/>
    <w:rsid w:val="00FC7A92"/>
    <w:rsid w:val="00FD0FCF"/>
    <w:rsid w:val="00FD1ACE"/>
    <w:rsid w:val="00FD25BF"/>
    <w:rsid w:val="00FD2736"/>
    <w:rsid w:val="00FD542A"/>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075F"/>
    <w:rsid w:val="00FF44B4"/>
    <w:rsid w:val="00FF4ADE"/>
    <w:rsid w:val="00FF52E8"/>
    <w:rsid w:val="00FF5311"/>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443B-1DF7-47CC-B33E-CAE9F427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2379</Words>
  <Characters>13088</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15437</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4</cp:revision>
  <cp:lastPrinted>2022-03-29T15:39:00Z</cp:lastPrinted>
  <dcterms:created xsi:type="dcterms:W3CDTF">2022-10-27T20:06:00Z</dcterms:created>
  <dcterms:modified xsi:type="dcterms:W3CDTF">2022-10-27T20:08:00Z</dcterms:modified>
</cp:coreProperties>
</file>